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034" w:rsidRPr="00A53034" w:rsidRDefault="00A53034" w:rsidP="00A53034">
      <w:pPr>
        <w:spacing w:before="100" w:beforeAutospacing="1" w:after="100" w:afterAutospacing="1" w:line="240" w:lineRule="auto"/>
        <w:jc w:val="both"/>
        <w:rPr>
          <w:rFonts w:ascii="Times New Roman" w:eastAsia="Times New Roman" w:hAnsi="Times New Roman" w:cs="Times New Roman"/>
          <w:sz w:val="24"/>
          <w:szCs w:val="24"/>
          <w:lang w:eastAsia="uk-UA"/>
        </w:rPr>
      </w:pPr>
      <w:r w:rsidRPr="00A53034">
        <w:rPr>
          <w:rFonts w:ascii="Times New Roman" w:eastAsia="Times New Roman" w:hAnsi="Times New Roman" w:cs="Times New Roman"/>
          <w:b/>
          <w:bCs/>
          <w:sz w:val="24"/>
          <w:szCs w:val="24"/>
          <w:lang w:eastAsia="uk-UA"/>
        </w:rPr>
        <w:t>Статус присяжного</w:t>
      </w:r>
    </w:p>
    <w:p w:rsidR="00A53034" w:rsidRPr="00A53034" w:rsidRDefault="00A53034" w:rsidP="00A53034">
      <w:pPr>
        <w:spacing w:before="100" w:beforeAutospacing="1" w:after="100" w:afterAutospacing="1" w:line="240" w:lineRule="auto"/>
        <w:jc w:val="both"/>
        <w:rPr>
          <w:rFonts w:ascii="Times New Roman" w:eastAsia="Times New Roman" w:hAnsi="Times New Roman" w:cs="Times New Roman"/>
          <w:sz w:val="24"/>
          <w:szCs w:val="24"/>
          <w:lang w:eastAsia="uk-UA"/>
        </w:rPr>
      </w:pPr>
      <w:r w:rsidRPr="00A53034">
        <w:rPr>
          <w:rFonts w:ascii="Times New Roman" w:eastAsia="Times New Roman" w:hAnsi="Times New Roman" w:cs="Times New Roman"/>
          <w:sz w:val="24"/>
          <w:szCs w:val="24"/>
          <w:lang w:eastAsia="uk-UA"/>
        </w:rPr>
        <w:t>Відповідно до статті 63 Закону України "Про судоустрій і статус суддів" присяжним є особа, яка у випадках, визначених процесуальним законом, та за її згодою вирішує справи у складі суду разом із суддею або залучається до здійснення правосуддя. Присяжні виконують обов’язки, визначені </w:t>
      </w:r>
      <w:hyperlink r:id="rId5" w:anchor="n491" w:history="1">
        <w:r w:rsidRPr="00A53034">
          <w:rPr>
            <w:rFonts w:ascii="Times New Roman" w:eastAsia="Times New Roman" w:hAnsi="Times New Roman" w:cs="Times New Roman"/>
            <w:color w:val="0000FF"/>
            <w:sz w:val="24"/>
            <w:szCs w:val="24"/>
            <w:u w:val="single"/>
            <w:lang w:eastAsia="uk-UA"/>
          </w:rPr>
          <w:t>пунктами 1</w:t>
        </w:r>
      </w:hyperlink>
      <w:r w:rsidRPr="00A53034">
        <w:rPr>
          <w:rFonts w:ascii="Times New Roman" w:eastAsia="Times New Roman" w:hAnsi="Times New Roman" w:cs="Times New Roman"/>
          <w:sz w:val="24"/>
          <w:szCs w:val="24"/>
          <w:lang w:eastAsia="uk-UA"/>
        </w:rPr>
        <w:t>, </w:t>
      </w:r>
      <w:hyperlink r:id="rId6" w:anchor="n492" w:history="1">
        <w:r w:rsidRPr="00A53034">
          <w:rPr>
            <w:rFonts w:ascii="Times New Roman" w:eastAsia="Times New Roman" w:hAnsi="Times New Roman" w:cs="Times New Roman"/>
            <w:color w:val="0000FF"/>
            <w:sz w:val="24"/>
            <w:szCs w:val="24"/>
            <w:u w:val="single"/>
            <w:lang w:eastAsia="uk-UA"/>
          </w:rPr>
          <w:t>2</w:t>
        </w:r>
      </w:hyperlink>
      <w:r w:rsidRPr="00A53034">
        <w:rPr>
          <w:rFonts w:ascii="Times New Roman" w:eastAsia="Times New Roman" w:hAnsi="Times New Roman" w:cs="Times New Roman"/>
          <w:sz w:val="24"/>
          <w:szCs w:val="24"/>
          <w:lang w:eastAsia="uk-UA"/>
        </w:rPr>
        <w:t>, </w:t>
      </w:r>
      <w:hyperlink r:id="rId7" w:anchor="n494" w:history="1">
        <w:r w:rsidRPr="00A53034">
          <w:rPr>
            <w:rFonts w:ascii="Times New Roman" w:eastAsia="Times New Roman" w:hAnsi="Times New Roman" w:cs="Times New Roman"/>
            <w:color w:val="0000FF"/>
            <w:sz w:val="24"/>
            <w:szCs w:val="24"/>
            <w:u w:val="single"/>
            <w:lang w:eastAsia="uk-UA"/>
          </w:rPr>
          <w:t>4-6</w:t>
        </w:r>
      </w:hyperlink>
      <w:r w:rsidRPr="00A53034">
        <w:rPr>
          <w:rFonts w:ascii="Times New Roman" w:eastAsia="Times New Roman" w:hAnsi="Times New Roman" w:cs="Times New Roman"/>
          <w:sz w:val="24"/>
          <w:szCs w:val="24"/>
          <w:lang w:eastAsia="uk-UA"/>
        </w:rPr>
        <w:t> частини сьомої статті 56 цього Закону.</w:t>
      </w:r>
    </w:p>
    <w:p w:rsidR="00A53034" w:rsidRPr="00A53034" w:rsidRDefault="00A53034" w:rsidP="00A53034">
      <w:pPr>
        <w:spacing w:before="100" w:beforeAutospacing="1" w:after="100" w:afterAutospacing="1" w:line="240" w:lineRule="auto"/>
        <w:jc w:val="both"/>
        <w:rPr>
          <w:rFonts w:ascii="Times New Roman" w:eastAsia="Times New Roman" w:hAnsi="Times New Roman" w:cs="Times New Roman"/>
          <w:sz w:val="24"/>
          <w:szCs w:val="24"/>
          <w:lang w:eastAsia="uk-UA"/>
        </w:rPr>
      </w:pPr>
      <w:r w:rsidRPr="00A53034">
        <w:rPr>
          <w:rFonts w:ascii="Times New Roman" w:eastAsia="Times New Roman" w:hAnsi="Times New Roman" w:cs="Times New Roman"/>
          <w:b/>
          <w:bCs/>
          <w:sz w:val="24"/>
          <w:szCs w:val="24"/>
          <w:lang w:eastAsia="uk-UA"/>
        </w:rPr>
        <w:t>Хто може стати присяжним?</w:t>
      </w:r>
    </w:p>
    <w:p w:rsidR="00A53034" w:rsidRPr="00A53034" w:rsidRDefault="00A53034" w:rsidP="00A53034">
      <w:pPr>
        <w:spacing w:before="100" w:beforeAutospacing="1" w:after="100" w:afterAutospacing="1" w:line="240" w:lineRule="auto"/>
        <w:jc w:val="both"/>
        <w:rPr>
          <w:rFonts w:ascii="Times New Roman" w:eastAsia="Times New Roman" w:hAnsi="Times New Roman" w:cs="Times New Roman"/>
          <w:sz w:val="24"/>
          <w:szCs w:val="24"/>
          <w:lang w:eastAsia="uk-UA"/>
        </w:rPr>
      </w:pPr>
      <w:r w:rsidRPr="00A53034">
        <w:rPr>
          <w:rFonts w:ascii="Times New Roman" w:eastAsia="Times New Roman" w:hAnsi="Times New Roman" w:cs="Times New Roman"/>
          <w:sz w:val="24"/>
          <w:szCs w:val="24"/>
          <w:lang w:eastAsia="uk-UA"/>
        </w:rPr>
        <w:t>Відповідно до статті 65 Закону України "Про судоустрій і статус суддів" присяжним може бути громадянин України, який досяг тридцятирічного віку і постійно проживає на території, на яку поширюється юрисдикція відповідного окружного суду, якщо інше не визначено законом.</w:t>
      </w:r>
    </w:p>
    <w:p w:rsidR="00A53034" w:rsidRPr="00A53034" w:rsidRDefault="00A53034" w:rsidP="00A53034">
      <w:pPr>
        <w:spacing w:before="100" w:beforeAutospacing="1" w:after="100" w:afterAutospacing="1" w:line="240" w:lineRule="auto"/>
        <w:jc w:val="both"/>
        <w:rPr>
          <w:rFonts w:ascii="Times New Roman" w:eastAsia="Times New Roman" w:hAnsi="Times New Roman" w:cs="Times New Roman"/>
          <w:sz w:val="24"/>
          <w:szCs w:val="24"/>
          <w:lang w:eastAsia="uk-UA"/>
        </w:rPr>
      </w:pPr>
      <w:r w:rsidRPr="00A53034">
        <w:rPr>
          <w:rFonts w:ascii="Times New Roman" w:eastAsia="Times New Roman" w:hAnsi="Times New Roman" w:cs="Times New Roman"/>
          <w:b/>
          <w:bCs/>
          <w:sz w:val="24"/>
          <w:szCs w:val="24"/>
          <w:lang w:eastAsia="uk-UA"/>
        </w:rPr>
        <w:t>Хто не може бути присяжним?</w:t>
      </w:r>
    </w:p>
    <w:p w:rsidR="00A53034" w:rsidRPr="00A53034" w:rsidRDefault="00A53034" w:rsidP="00A53034">
      <w:pPr>
        <w:spacing w:before="100" w:beforeAutospacing="1" w:after="100" w:afterAutospacing="1" w:line="240" w:lineRule="auto"/>
        <w:jc w:val="both"/>
        <w:rPr>
          <w:rFonts w:ascii="Times New Roman" w:eastAsia="Times New Roman" w:hAnsi="Times New Roman" w:cs="Times New Roman"/>
          <w:sz w:val="24"/>
          <w:szCs w:val="24"/>
          <w:lang w:eastAsia="uk-UA"/>
        </w:rPr>
      </w:pPr>
      <w:r w:rsidRPr="00A53034">
        <w:rPr>
          <w:rFonts w:ascii="Times New Roman" w:eastAsia="Times New Roman" w:hAnsi="Times New Roman" w:cs="Times New Roman"/>
          <w:sz w:val="24"/>
          <w:szCs w:val="24"/>
          <w:lang w:eastAsia="uk-UA"/>
        </w:rPr>
        <w:t>Присяжними не можуть бути громадяни, які:</w:t>
      </w:r>
    </w:p>
    <w:p w:rsidR="00A53034" w:rsidRPr="00A53034" w:rsidRDefault="00A53034" w:rsidP="00A53034">
      <w:pPr>
        <w:spacing w:before="100" w:beforeAutospacing="1" w:after="100" w:afterAutospacing="1" w:line="240" w:lineRule="auto"/>
        <w:jc w:val="both"/>
        <w:rPr>
          <w:rFonts w:ascii="Times New Roman" w:eastAsia="Times New Roman" w:hAnsi="Times New Roman" w:cs="Times New Roman"/>
          <w:sz w:val="24"/>
          <w:szCs w:val="24"/>
          <w:lang w:eastAsia="uk-UA"/>
        </w:rPr>
      </w:pPr>
      <w:r w:rsidRPr="00A53034">
        <w:rPr>
          <w:rFonts w:ascii="Times New Roman" w:eastAsia="Times New Roman" w:hAnsi="Times New Roman" w:cs="Times New Roman"/>
          <w:sz w:val="24"/>
          <w:szCs w:val="24"/>
          <w:lang w:eastAsia="uk-UA"/>
        </w:rPr>
        <w:t>1) визнані судом обмежено дієздатними або недієздатними;</w:t>
      </w:r>
    </w:p>
    <w:p w:rsidR="00A53034" w:rsidRPr="00A53034" w:rsidRDefault="00A53034" w:rsidP="00A53034">
      <w:pPr>
        <w:spacing w:before="100" w:beforeAutospacing="1" w:after="100" w:afterAutospacing="1" w:line="240" w:lineRule="auto"/>
        <w:jc w:val="both"/>
        <w:rPr>
          <w:rFonts w:ascii="Times New Roman" w:eastAsia="Times New Roman" w:hAnsi="Times New Roman" w:cs="Times New Roman"/>
          <w:sz w:val="24"/>
          <w:szCs w:val="24"/>
          <w:lang w:eastAsia="uk-UA"/>
        </w:rPr>
      </w:pPr>
      <w:r w:rsidRPr="00A53034">
        <w:rPr>
          <w:rFonts w:ascii="Times New Roman" w:eastAsia="Times New Roman" w:hAnsi="Times New Roman" w:cs="Times New Roman"/>
          <w:sz w:val="24"/>
          <w:szCs w:val="24"/>
          <w:lang w:eastAsia="uk-UA"/>
        </w:rPr>
        <w:t>2) які мають хронічні психічні чи інші захворювання, що перешкоджають виконанню обов’язків присяжного;</w:t>
      </w:r>
    </w:p>
    <w:p w:rsidR="00A53034" w:rsidRPr="00A53034" w:rsidRDefault="00A53034" w:rsidP="00A53034">
      <w:pPr>
        <w:spacing w:before="100" w:beforeAutospacing="1" w:after="100" w:afterAutospacing="1" w:line="240" w:lineRule="auto"/>
        <w:jc w:val="both"/>
        <w:rPr>
          <w:rFonts w:ascii="Times New Roman" w:eastAsia="Times New Roman" w:hAnsi="Times New Roman" w:cs="Times New Roman"/>
          <w:sz w:val="24"/>
          <w:szCs w:val="24"/>
          <w:lang w:eastAsia="uk-UA"/>
        </w:rPr>
      </w:pPr>
      <w:r w:rsidRPr="00A53034">
        <w:rPr>
          <w:rFonts w:ascii="Times New Roman" w:eastAsia="Times New Roman" w:hAnsi="Times New Roman" w:cs="Times New Roman"/>
          <w:sz w:val="24"/>
          <w:szCs w:val="24"/>
          <w:lang w:eastAsia="uk-UA"/>
        </w:rPr>
        <w:t>3) які мають незняту чи непогашену судимість;</w:t>
      </w:r>
    </w:p>
    <w:p w:rsidR="00A53034" w:rsidRPr="00A53034" w:rsidRDefault="00A53034" w:rsidP="00A53034">
      <w:pPr>
        <w:spacing w:before="100" w:beforeAutospacing="1" w:after="100" w:afterAutospacing="1" w:line="240" w:lineRule="auto"/>
        <w:jc w:val="both"/>
        <w:rPr>
          <w:rFonts w:ascii="Times New Roman" w:eastAsia="Times New Roman" w:hAnsi="Times New Roman" w:cs="Times New Roman"/>
          <w:sz w:val="24"/>
          <w:szCs w:val="24"/>
          <w:lang w:eastAsia="uk-UA"/>
        </w:rPr>
      </w:pPr>
      <w:r w:rsidRPr="00A53034">
        <w:rPr>
          <w:rFonts w:ascii="Times New Roman" w:eastAsia="Times New Roman" w:hAnsi="Times New Roman" w:cs="Times New Roman"/>
          <w:sz w:val="24"/>
          <w:szCs w:val="24"/>
          <w:lang w:eastAsia="uk-UA"/>
        </w:rPr>
        <w:t>4) народні депутати України, члени Кабінету Міністрів України, судді, прокурори, працівники правоохоронних органів (органів правопорядку), військовослужбовці, працівники апаратів судів, інші державні службовці, посадові особи органів місцевого самоврядування, адвокати, нотаріуси, члени Вищої кваліфікаційної комісії суддів України, Вищої ради правосуддя;</w:t>
      </w:r>
    </w:p>
    <w:p w:rsidR="00A53034" w:rsidRPr="00A53034" w:rsidRDefault="00A53034" w:rsidP="00A53034">
      <w:pPr>
        <w:spacing w:before="100" w:beforeAutospacing="1" w:after="100" w:afterAutospacing="1" w:line="240" w:lineRule="auto"/>
        <w:jc w:val="both"/>
        <w:rPr>
          <w:rFonts w:ascii="Times New Roman" w:eastAsia="Times New Roman" w:hAnsi="Times New Roman" w:cs="Times New Roman"/>
          <w:sz w:val="24"/>
          <w:szCs w:val="24"/>
          <w:lang w:eastAsia="uk-UA"/>
        </w:rPr>
      </w:pPr>
      <w:r w:rsidRPr="00A53034">
        <w:rPr>
          <w:rFonts w:ascii="Times New Roman" w:eastAsia="Times New Roman" w:hAnsi="Times New Roman" w:cs="Times New Roman"/>
          <w:sz w:val="24"/>
          <w:szCs w:val="24"/>
          <w:lang w:eastAsia="uk-UA"/>
        </w:rPr>
        <w:t>5) особи, на яких протягом останнього року накладалося адміністративне стягнення за вчинення корупційного правопорушення;</w:t>
      </w:r>
    </w:p>
    <w:p w:rsidR="00A53034" w:rsidRPr="00A53034" w:rsidRDefault="00A53034" w:rsidP="00A53034">
      <w:pPr>
        <w:spacing w:before="100" w:beforeAutospacing="1" w:after="100" w:afterAutospacing="1" w:line="240" w:lineRule="auto"/>
        <w:jc w:val="both"/>
        <w:rPr>
          <w:rFonts w:ascii="Times New Roman" w:eastAsia="Times New Roman" w:hAnsi="Times New Roman" w:cs="Times New Roman"/>
          <w:sz w:val="24"/>
          <w:szCs w:val="24"/>
          <w:lang w:eastAsia="uk-UA"/>
        </w:rPr>
      </w:pPr>
      <w:r w:rsidRPr="00A53034">
        <w:rPr>
          <w:rFonts w:ascii="Times New Roman" w:eastAsia="Times New Roman" w:hAnsi="Times New Roman" w:cs="Times New Roman"/>
          <w:sz w:val="24"/>
          <w:szCs w:val="24"/>
          <w:lang w:eastAsia="uk-UA"/>
        </w:rPr>
        <w:t>6) громадяни, які досягли шістдесяти п’яти років;</w:t>
      </w:r>
    </w:p>
    <w:p w:rsidR="00A53034" w:rsidRPr="00A53034" w:rsidRDefault="00A53034" w:rsidP="00A53034">
      <w:pPr>
        <w:spacing w:before="100" w:beforeAutospacing="1" w:after="100" w:afterAutospacing="1" w:line="240" w:lineRule="auto"/>
        <w:jc w:val="both"/>
        <w:rPr>
          <w:rFonts w:ascii="Times New Roman" w:eastAsia="Times New Roman" w:hAnsi="Times New Roman" w:cs="Times New Roman"/>
          <w:sz w:val="24"/>
          <w:szCs w:val="24"/>
          <w:lang w:eastAsia="uk-UA"/>
        </w:rPr>
      </w:pPr>
      <w:r w:rsidRPr="00A53034">
        <w:rPr>
          <w:rFonts w:ascii="Times New Roman" w:eastAsia="Times New Roman" w:hAnsi="Times New Roman" w:cs="Times New Roman"/>
          <w:sz w:val="24"/>
          <w:szCs w:val="24"/>
          <w:lang w:eastAsia="uk-UA"/>
        </w:rPr>
        <w:t>7) особи, які не володіють державною мовою.</w:t>
      </w:r>
    </w:p>
    <w:p w:rsidR="00A53034" w:rsidRPr="00A53034" w:rsidRDefault="00A53034" w:rsidP="00A53034">
      <w:pPr>
        <w:spacing w:before="100" w:beforeAutospacing="1" w:after="100" w:afterAutospacing="1" w:line="240" w:lineRule="auto"/>
        <w:jc w:val="both"/>
        <w:rPr>
          <w:rFonts w:ascii="Times New Roman" w:eastAsia="Times New Roman" w:hAnsi="Times New Roman" w:cs="Times New Roman"/>
          <w:sz w:val="24"/>
          <w:szCs w:val="24"/>
          <w:lang w:eastAsia="uk-UA"/>
        </w:rPr>
      </w:pPr>
      <w:r w:rsidRPr="00A53034">
        <w:rPr>
          <w:rFonts w:ascii="Times New Roman" w:eastAsia="Times New Roman" w:hAnsi="Times New Roman" w:cs="Times New Roman"/>
          <w:b/>
          <w:bCs/>
          <w:sz w:val="24"/>
          <w:szCs w:val="24"/>
          <w:lang w:eastAsia="uk-UA"/>
        </w:rPr>
        <w:t>Категорії справ прави, до розгляду яких залучаються присяжні</w:t>
      </w:r>
    </w:p>
    <w:p w:rsidR="00A53034" w:rsidRPr="00A53034" w:rsidRDefault="00A53034" w:rsidP="00A5303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A53034">
        <w:rPr>
          <w:rFonts w:ascii="Times New Roman" w:eastAsia="Times New Roman" w:hAnsi="Times New Roman" w:cs="Times New Roman"/>
          <w:sz w:val="24"/>
          <w:szCs w:val="24"/>
          <w:lang w:eastAsia="uk-UA"/>
        </w:rPr>
        <w:t>Обмеження цивільної дієздатності фізичної особи, визнання фізичної особи недієздатною та поновлення цивільної дієздатності фізичної особи;</w:t>
      </w:r>
    </w:p>
    <w:p w:rsidR="00A53034" w:rsidRPr="00A53034" w:rsidRDefault="00A53034" w:rsidP="00A5303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A53034">
        <w:rPr>
          <w:rFonts w:ascii="Times New Roman" w:eastAsia="Times New Roman" w:hAnsi="Times New Roman" w:cs="Times New Roman"/>
          <w:sz w:val="24"/>
          <w:szCs w:val="24"/>
          <w:lang w:eastAsia="uk-UA"/>
        </w:rPr>
        <w:t>Визнання фізичної особи безвісно відсутньою чи оголошення її померлою;</w:t>
      </w:r>
    </w:p>
    <w:p w:rsidR="00A53034" w:rsidRPr="00A53034" w:rsidRDefault="00A53034" w:rsidP="00A5303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A53034">
        <w:rPr>
          <w:rFonts w:ascii="Times New Roman" w:eastAsia="Times New Roman" w:hAnsi="Times New Roman" w:cs="Times New Roman"/>
          <w:sz w:val="24"/>
          <w:szCs w:val="24"/>
          <w:lang w:eastAsia="uk-UA"/>
        </w:rPr>
        <w:t>Усиновлення;</w:t>
      </w:r>
    </w:p>
    <w:p w:rsidR="00A53034" w:rsidRPr="00A53034" w:rsidRDefault="00A53034" w:rsidP="00A5303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A53034">
        <w:rPr>
          <w:rFonts w:ascii="Times New Roman" w:eastAsia="Times New Roman" w:hAnsi="Times New Roman" w:cs="Times New Roman"/>
          <w:sz w:val="24"/>
          <w:szCs w:val="24"/>
          <w:lang w:eastAsia="uk-UA"/>
        </w:rPr>
        <w:t>Надання особі психіатричної допомоги в примусовому порядку;</w:t>
      </w:r>
    </w:p>
    <w:p w:rsidR="00A53034" w:rsidRPr="00A53034" w:rsidRDefault="00A53034" w:rsidP="00A5303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A53034">
        <w:rPr>
          <w:rFonts w:ascii="Times New Roman" w:eastAsia="Times New Roman" w:hAnsi="Times New Roman" w:cs="Times New Roman"/>
          <w:sz w:val="24"/>
          <w:szCs w:val="24"/>
          <w:lang w:eastAsia="uk-UA"/>
        </w:rPr>
        <w:t>Примусова госпіталізація особи до протитуберкульозного закладу;</w:t>
      </w:r>
    </w:p>
    <w:p w:rsidR="00A53034" w:rsidRPr="00A53034" w:rsidRDefault="00A53034" w:rsidP="00A5303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A53034">
        <w:rPr>
          <w:rFonts w:ascii="Times New Roman" w:eastAsia="Times New Roman" w:hAnsi="Times New Roman" w:cs="Times New Roman"/>
          <w:sz w:val="24"/>
          <w:szCs w:val="24"/>
          <w:lang w:eastAsia="uk-UA"/>
        </w:rPr>
        <w:t>Кримінальні провадження щодо злочинів, де передбачено довічне позбавлення волі, якщо обвинувачений заявив клопотання про розгляд справи за участі суду присяжних;</w:t>
      </w:r>
    </w:p>
    <w:p w:rsidR="00A53034" w:rsidRPr="00A53034" w:rsidRDefault="00A53034" w:rsidP="00A5303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A53034">
        <w:rPr>
          <w:rFonts w:ascii="Times New Roman" w:eastAsia="Times New Roman" w:hAnsi="Times New Roman" w:cs="Times New Roman"/>
          <w:sz w:val="24"/>
          <w:szCs w:val="24"/>
          <w:lang w:eastAsia="uk-UA"/>
        </w:rPr>
        <w:t>Кримінальне провадження стосовно кількох обвинувачених, де передбачено довічне позбавлення волі, розглядається судом присяжних стосовно всіх присяжних, якщо хоча б один з них заявив клопотання про такий розгляд.</w:t>
      </w:r>
    </w:p>
    <w:p w:rsidR="00A53034" w:rsidRPr="00A53034" w:rsidRDefault="00A53034" w:rsidP="00A53034">
      <w:pPr>
        <w:spacing w:before="100" w:beforeAutospacing="1" w:after="100" w:afterAutospacing="1" w:line="240" w:lineRule="auto"/>
        <w:jc w:val="both"/>
        <w:rPr>
          <w:rFonts w:ascii="Times New Roman" w:eastAsia="Times New Roman" w:hAnsi="Times New Roman" w:cs="Times New Roman"/>
          <w:sz w:val="24"/>
          <w:szCs w:val="24"/>
          <w:lang w:eastAsia="uk-UA"/>
        </w:rPr>
      </w:pPr>
      <w:r w:rsidRPr="00A53034">
        <w:rPr>
          <w:rFonts w:ascii="Times New Roman" w:eastAsia="Times New Roman" w:hAnsi="Times New Roman" w:cs="Times New Roman"/>
          <w:b/>
          <w:bCs/>
          <w:sz w:val="24"/>
          <w:szCs w:val="24"/>
          <w:lang w:eastAsia="uk-UA"/>
        </w:rPr>
        <w:t>Гарантії прав присяжних</w:t>
      </w:r>
    </w:p>
    <w:p w:rsidR="00A53034" w:rsidRPr="00A53034" w:rsidRDefault="00A53034" w:rsidP="00A53034">
      <w:pPr>
        <w:spacing w:before="100" w:beforeAutospacing="1" w:after="100" w:afterAutospacing="1" w:line="240" w:lineRule="auto"/>
        <w:jc w:val="both"/>
        <w:rPr>
          <w:rFonts w:ascii="Times New Roman" w:eastAsia="Times New Roman" w:hAnsi="Times New Roman" w:cs="Times New Roman"/>
          <w:sz w:val="24"/>
          <w:szCs w:val="24"/>
          <w:lang w:eastAsia="uk-UA"/>
        </w:rPr>
      </w:pPr>
      <w:r w:rsidRPr="00A53034">
        <w:rPr>
          <w:rFonts w:ascii="Times New Roman" w:eastAsia="Times New Roman" w:hAnsi="Times New Roman" w:cs="Times New Roman"/>
          <w:sz w:val="24"/>
          <w:szCs w:val="24"/>
          <w:lang w:eastAsia="uk-UA"/>
        </w:rPr>
        <w:t>Присяжним за час виконання ними обов’язків у суді виплачується винагорода.</w:t>
      </w:r>
    </w:p>
    <w:p w:rsidR="00A53034" w:rsidRPr="00A53034" w:rsidRDefault="00A53034" w:rsidP="00A53034">
      <w:pPr>
        <w:spacing w:before="100" w:beforeAutospacing="1" w:after="100" w:afterAutospacing="1" w:line="240" w:lineRule="auto"/>
        <w:jc w:val="both"/>
        <w:rPr>
          <w:rFonts w:ascii="Times New Roman" w:eastAsia="Times New Roman" w:hAnsi="Times New Roman" w:cs="Times New Roman"/>
          <w:sz w:val="24"/>
          <w:szCs w:val="24"/>
          <w:lang w:eastAsia="uk-UA"/>
        </w:rPr>
      </w:pPr>
      <w:r w:rsidRPr="00A53034">
        <w:rPr>
          <w:rFonts w:ascii="Times New Roman" w:eastAsia="Times New Roman" w:hAnsi="Times New Roman" w:cs="Times New Roman"/>
          <w:sz w:val="24"/>
          <w:szCs w:val="24"/>
          <w:lang w:eastAsia="uk-UA"/>
        </w:rPr>
        <w:lastRenderedPageBreak/>
        <w:t>За присяжними на час виконання ними обов’язків у суді за місцем основної роботи зберігаються всі гарантії та пільги, визначені законом. Час виконання присяжним обов’язків у суді зараховується до всіх видів трудового стажу.</w:t>
      </w:r>
    </w:p>
    <w:p w:rsidR="00A53034" w:rsidRPr="00A53034" w:rsidRDefault="00A53034" w:rsidP="00A53034">
      <w:pPr>
        <w:spacing w:before="100" w:beforeAutospacing="1" w:after="100" w:afterAutospacing="1" w:line="240" w:lineRule="auto"/>
        <w:jc w:val="both"/>
        <w:rPr>
          <w:rFonts w:ascii="Times New Roman" w:eastAsia="Times New Roman" w:hAnsi="Times New Roman" w:cs="Times New Roman"/>
          <w:sz w:val="24"/>
          <w:szCs w:val="24"/>
          <w:lang w:eastAsia="uk-UA"/>
        </w:rPr>
      </w:pPr>
      <w:r w:rsidRPr="00A53034">
        <w:rPr>
          <w:rFonts w:ascii="Times New Roman" w:eastAsia="Times New Roman" w:hAnsi="Times New Roman" w:cs="Times New Roman"/>
          <w:sz w:val="24"/>
          <w:szCs w:val="24"/>
          <w:lang w:eastAsia="uk-UA"/>
        </w:rPr>
        <w:t>Звільнення присяжного з роботи або переведення на іншу роботу без його згоди під час виконання ним обов’язків у суді не допускається.</w:t>
      </w:r>
    </w:p>
    <w:p w:rsidR="00A53034" w:rsidRPr="00A53034" w:rsidRDefault="00A53034" w:rsidP="00A53034">
      <w:pPr>
        <w:spacing w:before="100" w:beforeAutospacing="1" w:after="100" w:afterAutospacing="1" w:line="240" w:lineRule="auto"/>
        <w:jc w:val="both"/>
        <w:rPr>
          <w:rFonts w:ascii="Times New Roman" w:eastAsia="Times New Roman" w:hAnsi="Times New Roman" w:cs="Times New Roman"/>
          <w:sz w:val="24"/>
          <w:szCs w:val="24"/>
          <w:lang w:eastAsia="uk-UA"/>
        </w:rPr>
      </w:pPr>
      <w:r w:rsidRPr="00A53034">
        <w:rPr>
          <w:rFonts w:ascii="Times New Roman" w:eastAsia="Times New Roman" w:hAnsi="Times New Roman" w:cs="Times New Roman"/>
          <w:sz w:val="24"/>
          <w:szCs w:val="24"/>
          <w:lang w:eastAsia="uk-UA"/>
        </w:rPr>
        <w:t>На присяжних поширюються гарантії незалежності і недоторканності суддів, установлені законом, на час виконання ними обов’язків із здійснення правосуддя. За обґрунтованим клопотанням присяжного заходи безпеки щодо нього можуть уживатися і після закінчення виконання цих обов’язків.</w:t>
      </w:r>
    </w:p>
    <w:p w:rsidR="00A53034" w:rsidRPr="00A53034" w:rsidRDefault="00A53034" w:rsidP="00A53034">
      <w:pPr>
        <w:spacing w:before="100" w:beforeAutospacing="1" w:after="100" w:afterAutospacing="1" w:line="240" w:lineRule="auto"/>
        <w:jc w:val="both"/>
        <w:rPr>
          <w:rFonts w:ascii="Times New Roman" w:eastAsia="Times New Roman" w:hAnsi="Times New Roman" w:cs="Times New Roman"/>
          <w:sz w:val="24"/>
          <w:szCs w:val="24"/>
          <w:lang w:eastAsia="uk-UA"/>
        </w:rPr>
      </w:pPr>
      <w:r w:rsidRPr="00A53034">
        <w:rPr>
          <w:rFonts w:ascii="Times New Roman" w:eastAsia="Times New Roman" w:hAnsi="Times New Roman" w:cs="Times New Roman"/>
          <w:b/>
          <w:bCs/>
          <w:sz w:val="24"/>
          <w:szCs w:val="24"/>
          <w:lang w:eastAsia="uk-UA"/>
        </w:rPr>
        <w:t>Присяжні є суб’єктами декларування</w:t>
      </w:r>
    </w:p>
    <w:p w:rsidR="00A53034" w:rsidRPr="00A53034" w:rsidRDefault="00A53034" w:rsidP="00A53034">
      <w:pPr>
        <w:spacing w:before="100" w:beforeAutospacing="1" w:after="100" w:afterAutospacing="1" w:line="240" w:lineRule="auto"/>
        <w:jc w:val="both"/>
        <w:rPr>
          <w:rFonts w:ascii="Times New Roman" w:eastAsia="Times New Roman" w:hAnsi="Times New Roman" w:cs="Times New Roman"/>
          <w:sz w:val="24"/>
          <w:szCs w:val="24"/>
          <w:lang w:eastAsia="uk-UA"/>
        </w:rPr>
      </w:pPr>
      <w:r w:rsidRPr="00A53034">
        <w:rPr>
          <w:rFonts w:ascii="Times New Roman" w:eastAsia="Times New Roman" w:hAnsi="Times New Roman" w:cs="Times New Roman"/>
          <w:sz w:val="24"/>
          <w:szCs w:val="24"/>
          <w:lang w:eastAsia="uk-UA"/>
        </w:rPr>
        <w:t>Відповідно до підпункту "ґ" пункту 1 частини першої статті 3 Закону України "Про запобігання корупції" до суб’єктів декларування та відповідальності за корупційні правопорушення відносяться присяжні (під час виконання ними обов’язків у суді).</w:t>
      </w:r>
    </w:p>
    <w:p w:rsidR="0065798B" w:rsidRDefault="00A53034">
      <w:bookmarkStart w:id="0" w:name="_GoBack"/>
      <w:bookmarkEnd w:id="0"/>
    </w:p>
    <w:sectPr w:rsidR="0065798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91E87"/>
    <w:multiLevelType w:val="multilevel"/>
    <w:tmpl w:val="B2EA4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034"/>
    <w:rsid w:val="00A53034"/>
    <w:rsid w:val="00C75FD7"/>
    <w:rsid w:val="00F47F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1C5C5B-8B4A-4CF9-9B7B-73B12E6CB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303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A53034"/>
    <w:rPr>
      <w:b/>
      <w:bCs/>
    </w:rPr>
  </w:style>
  <w:style w:type="character" w:styleId="a5">
    <w:name w:val="Hyperlink"/>
    <w:basedOn w:val="a0"/>
    <w:uiPriority w:val="99"/>
    <w:semiHidden/>
    <w:unhideWhenUsed/>
    <w:rsid w:val="00A530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73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1402-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402-19" TargetMode="External"/><Relationship Id="rId5" Type="http://schemas.openxmlformats.org/officeDocument/2006/relationships/hyperlink" Target="https://zakon.rada.gov.ua/laws/show/1402-1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2236</Words>
  <Characters>1275</Characters>
  <Application>Microsoft Office Word</Application>
  <DocSecurity>0</DocSecurity>
  <Lines>10</Lines>
  <Paragraphs>7</Paragraphs>
  <ScaleCrop>false</ScaleCrop>
  <Company>SPecialiST RePack</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Ємельянова</dc:creator>
  <cp:keywords/>
  <dc:description/>
  <cp:lastModifiedBy>Наталія Ємельянова</cp:lastModifiedBy>
  <cp:revision>2</cp:revision>
  <dcterms:created xsi:type="dcterms:W3CDTF">2026-01-28T08:50:00Z</dcterms:created>
  <dcterms:modified xsi:type="dcterms:W3CDTF">2026-01-28T08:51:00Z</dcterms:modified>
</cp:coreProperties>
</file>